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0E8BD93F" w:rsidR="00561983" w:rsidRDefault="00FD2F80" w:rsidP="00BF68A5">
            <w:pPr>
              <w:spacing w:after="20"/>
              <w:jc w:val="both"/>
              <w:outlineLvl w:val="0"/>
            </w:pPr>
            <w:r>
              <w:t xml:space="preserve"> «___» ____________20</w:t>
            </w:r>
            <w:r w:rsidR="00164846">
              <w:t>2</w:t>
            </w:r>
            <w:r w:rsidR="00505241">
              <w:t>2</w:t>
            </w:r>
            <w:r w:rsidR="00A67525">
              <w:t xml:space="preserve"> </w:t>
            </w:r>
            <w:r w:rsidR="00561983" w:rsidRPr="00E1320E">
              <w:t>г.</w:t>
            </w:r>
          </w:p>
          <w:p w14:paraId="7AA115EC" w14:textId="4586A947" w:rsidR="00806443" w:rsidRDefault="00806443" w:rsidP="00BF68A5">
            <w:pPr>
              <w:spacing w:after="20"/>
              <w:jc w:val="both"/>
              <w:outlineLvl w:val="0"/>
            </w:pPr>
          </w:p>
          <w:p w14:paraId="10D30456" w14:textId="77777777" w:rsidR="00561983" w:rsidRPr="00E1320E" w:rsidRDefault="00561983" w:rsidP="00BF68A5">
            <w:pPr>
              <w:spacing w:after="20"/>
              <w:ind w:firstLine="567"/>
              <w:jc w:val="both"/>
            </w:pPr>
            <w:bookmarkStart w:id="0" w:name="_GoBack"/>
            <w:bookmarkEnd w:id="0"/>
          </w:p>
        </w:tc>
      </w:tr>
    </w:tbl>
    <w:p w14:paraId="3A968F4F" w14:textId="77777777" w:rsidR="00561983" w:rsidRDefault="00561983" w:rsidP="00BF68A5">
      <w:pPr>
        <w:spacing w:after="20"/>
        <w:jc w:val="center"/>
        <w:rPr>
          <w:b/>
        </w:rPr>
      </w:pPr>
      <w:r w:rsidRPr="00E1320E">
        <w:rPr>
          <w:b/>
        </w:rPr>
        <w:t>ТЕХНИЧЕСКОЕ ЗАДАНИЕ</w:t>
      </w:r>
      <w:r w:rsidR="004611C9">
        <w:rPr>
          <w:b/>
        </w:rPr>
        <w:t xml:space="preserve"> </w:t>
      </w:r>
    </w:p>
    <w:p w14:paraId="3D04AEC7" w14:textId="77777777" w:rsidR="00E62814" w:rsidRPr="00E1320E" w:rsidRDefault="00E62814" w:rsidP="00BF68A5">
      <w:pPr>
        <w:spacing w:after="20"/>
        <w:jc w:val="center"/>
        <w:rPr>
          <w:b/>
        </w:rPr>
      </w:pPr>
    </w:p>
    <w:p w14:paraId="77B1E367" w14:textId="03BC1D34"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r w:rsidR="003C7B54">
        <w:rPr>
          <w:b/>
        </w:rPr>
        <w:t xml:space="preserve">Шиловского водовода (12) внутриквартальной водопроводной сети от колодца, расположенного у </w:t>
      </w:r>
      <w:proofErr w:type="spellStart"/>
      <w:r w:rsidR="003C7B54">
        <w:rPr>
          <w:b/>
        </w:rPr>
        <w:t>ж.д</w:t>
      </w:r>
      <w:proofErr w:type="spellEnd"/>
      <w:r w:rsidR="003C7B54">
        <w:rPr>
          <w:b/>
        </w:rPr>
        <w:t xml:space="preserve">. №11 по </w:t>
      </w:r>
      <w:r w:rsidR="003C7B54">
        <w:rPr>
          <w:b/>
        </w:rPr>
        <w:br/>
        <w:t>ул. Гагарина, Брусницына, до пересечения ул. Театральная-Брусницына (11.3) на участке от ул. Театральная до ул. Брусницына 3.</w:t>
      </w:r>
      <w:r w:rsidR="00FE0AB3">
        <w:rPr>
          <w:b/>
        </w:rPr>
        <w:t xml:space="preserve"> </w:t>
      </w:r>
      <w:r w:rsidR="00FE0AB3">
        <w:rPr>
          <w:b/>
        </w:rPr>
        <w:br/>
      </w:r>
      <w:r w:rsidR="00FE0AB3">
        <w:rPr>
          <w:b/>
          <w:lang w:val="en-US"/>
        </w:rPr>
        <w:t>D</w:t>
      </w:r>
      <w:r w:rsidR="003C7B54">
        <w:rPr>
          <w:b/>
        </w:rPr>
        <w:t>=315</w:t>
      </w:r>
      <w:r w:rsidR="00FE0AB3">
        <w:rPr>
          <w:b/>
        </w:rPr>
        <w:t xml:space="preserve">мм, </w:t>
      </w:r>
      <w:r w:rsidR="00FE0AB3">
        <w:rPr>
          <w:b/>
          <w:lang w:val="en-US"/>
        </w:rPr>
        <w:t>L</w:t>
      </w:r>
      <w:r w:rsidR="00FE0AB3">
        <w:rPr>
          <w:b/>
        </w:rPr>
        <w:t>=</w:t>
      </w:r>
      <w:r w:rsidR="003C7B54">
        <w:rPr>
          <w:b/>
        </w:rPr>
        <w:t>265</w:t>
      </w:r>
      <w:r w:rsidR="00FE0AB3">
        <w:rPr>
          <w:b/>
        </w:rPr>
        <w:t>м.</w:t>
      </w:r>
      <w:r w:rsidR="003C7B54" w:rsidRPr="003C7B54">
        <w:rPr>
          <w:b/>
          <w:lang w:val="en-US"/>
        </w:rPr>
        <w:t xml:space="preserve"> </w:t>
      </w:r>
      <w:r w:rsidR="003C7B54">
        <w:rPr>
          <w:b/>
          <w:lang w:val="en-US"/>
        </w:rPr>
        <w:t>D</w:t>
      </w:r>
      <w:r w:rsidR="003C7B54">
        <w:rPr>
          <w:b/>
        </w:rPr>
        <w:t>=</w:t>
      </w:r>
      <w:r w:rsidR="003C7B54">
        <w:rPr>
          <w:b/>
        </w:rPr>
        <w:t>160</w:t>
      </w:r>
      <w:r w:rsidR="003C7B54">
        <w:rPr>
          <w:b/>
        </w:rPr>
        <w:t xml:space="preserve">мм, </w:t>
      </w:r>
      <w:r w:rsidR="003C7B54">
        <w:rPr>
          <w:b/>
          <w:lang w:val="en-US"/>
        </w:rPr>
        <w:t>L</w:t>
      </w:r>
      <w:r w:rsidR="003C7B54">
        <w:rPr>
          <w:b/>
        </w:rPr>
        <w:t>=</w:t>
      </w:r>
      <w:r w:rsidR="003C7B54">
        <w:rPr>
          <w:b/>
        </w:rPr>
        <w:t>27</w:t>
      </w:r>
      <w:r w:rsidR="003C7B54">
        <w:rPr>
          <w:b/>
        </w:rPr>
        <w:t>м.</w:t>
      </w:r>
      <w:r w:rsidR="003C7B54" w:rsidRPr="003C7B54">
        <w:rPr>
          <w:b/>
          <w:lang w:val="en-US"/>
        </w:rPr>
        <w:t xml:space="preserve"> </w:t>
      </w:r>
      <w:r w:rsidR="003C7B54">
        <w:rPr>
          <w:b/>
          <w:lang w:val="en-US"/>
        </w:rPr>
        <w:t>D</w:t>
      </w:r>
      <w:r w:rsidR="003C7B54">
        <w:rPr>
          <w:b/>
        </w:rPr>
        <w:t>=</w:t>
      </w:r>
      <w:r w:rsidR="003C7B54">
        <w:rPr>
          <w:b/>
        </w:rPr>
        <w:t>110</w:t>
      </w:r>
      <w:r w:rsidR="003C7B54">
        <w:rPr>
          <w:b/>
        </w:rPr>
        <w:t xml:space="preserve">мм, </w:t>
      </w:r>
      <w:r w:rsidR="003C7B54">
        <w:rPr>
          <w:b/>
          <w:lang w:val="en-US"/>
        </w:rPr>
        <w:t>L</w:t>
      </w:r>
      <w:r w:rsidR="003C7B54">
        <w:rPr>
          <w:b/>
        </w:rPr>
        <w:t>=1</w:t>
      </w:r>
      <w:r w:rsidR="003C7B54">
        <w:rPr>
          <w:b/>
        </w:rPr>
        <w:t>20</w:t>
      </w:r>
      <w:r w:rsidR="003C7B54">
        <w:rPr>
          <w:b/>
        </w:rPr>
        <w:t>м.</w:t>
      </w:r>
      <w:r w:rsidR="004611C9">
        <w:rPr>
          <w:b/>
        </w:rPr>
        <w:br/>
      </w:r>
    </w:p>
    <w:p w14:paraId="7E6DE1D2" w14:textId="77777777" w:rsidR="00744EC8" w:rsidRPr="00E1320E" w:rsidRDefault="00744EC8" w:rsidP="009D2BF5">
      <w:pPr>
        <w:pStyle w:val="a4"/>
        <w:numPr>
          <w:ilvl w:val="0"/>
          <w:numId w:val="1"/>
        </w:numPr>
        <w:spacing w:line="360" w:lineRule="auto"/>
        <w:ind w:left="0" w:firstLine="426"/>
        <w:jc w:val="both"/>
        <w:rPr>
          <w:b/>
        </w:rPr>
      </w:pPr>
      <w:r w:rsidRPr="00E1320E">
        <w:rPr>
          <w:b/>
        </w:rPr>
        <w:t>Наименование выполняемых работ:</w:t>
      </w:r>
    </w:p>
    <w:p w14:paraId="66E34623" w14:textId="4DDFB10B" w:rsidR="003C7B54" w:rsidRPr="003C7B54" w:rsidRDefault="003C7B54" w:rsidP="009D2BF5">
      <w:pPr>
        <w:pStyle w:val="a4"/>
        <w:spacing w:line="360" w:lineRule="auto"/>
        <w:ind w:left="426"/>
        <w:jc w:val="both"/>
      </w:pPr>
      <w:r w:rsidRPr="003C7B54">
        <w:t>Капитальный</w:t>
      </w:r>
      <w:r w:rsidRPr="003C7B54">
        <w:t xml:space="preserve"> ремонт Шиловского водовода (12) внутриквартальной водопроводной сети от колодца, расположенного у </w:t>
      </w:r>
      <w:proofErr w:type="spellStart"/>
      <w:r w:rsidRPr="003C7B54">
        <w:t>ж.д</w:t>
      </w:r>
      <w:proofErr w:type="spellEnd"/>
      <w:r w:rsidRPr="003C7B54">
        <w:t>. №11 по ул. Гагарина, Брусницына, до пересечения ул. Театральная-Брусницына (11.3) на участке от ул. Театральная до ул. Брусницына 3.</w:t>
      </w:r>
    </w:p>
    <w:p w14:paraId="576B69A8" w14:textId="3806952A" w:rsidR="00337B28" w:rsidRPr="00E1320E" w:rsidRDefault="00337B28" w:rsidP="009D2BF5">
      <w:pPr>
        <w:pStyle w:val="a4"/>
        <w:spacing w:line="360" w:lineRule="auto"/>
        <w:ind w:left="426"/>
        <w:jc w:val="both"/>
        <w:rPr>
          <w:b/>
        </w:rPr>
      </w:pPr>
      <w:r w:rsidRPr="00E1320E">
        <w:rPr>
          <w:b/>
        </w:rPr>
        <w:t xml:space="preserve">Вид строительства: </w:t>
      </w:r>
    </w:p>
    <w:p w14:paraId="4EC1317D" w14:textId="77777777" w:rsidR="00312A2E" w:rsidRPr="00E1320E" w:rsidRDefault="00DF3671" w:rsidP="009D2BF5">
      <w:pPr>
        <w:spacing w:line="360" w:lineRule="auto"/>
        <w:ind w:firstLine="426"/>
        <w:jc w:val="both"/>
      </w:pPr>
      <w:r>
        <w:t>Капитальный ремонт</w:t>
      </w:r>
      <w:r w:rsidR="004E397C">
        <w:t>.</w:t>
      </w:r>
    </w:p>
    <w:p w14:paraId="649471FB" w14:textId="77777777" w:rsidR="00312A2E" w:rsidRPr="00E1320E" w:rsidRDefault="00312A2E" w:rsidP="009D2BF5">
      <w:pPr>
        <w:pStyle w:val="a4"/>
        <w:numPr>
          <w:ilvl w:val="0"/>
          <w:numId w:val="1"/>
        </w:numPr>
        <w:spacing w:line="360" w:lineRule="auto"/>
        <w:ind w:left="0" w:firstLine="426"/>
        <w:jc w:val="both"/>
        <w:rPr>
          <w:b/>
        </w:rPr>
      </w:pPr>
      <w:r w:rsidRPr="00E1320E">
        <w:rPr>
          <w:b/>
        </w:rPr>
        <w:t>Источник финансирования:</w:t>
      </w:r>
    </w:p>
    <w:p w14:paraId="2DE5A7C4" w14:textId="77777777" w:rsidR="00312A2E" w:rsidRPr="00E1320E" w:rsidRDefault="006B33AD" w:rsidP="009D2BF5">
      <w:pPr>
        <w:spacing w:line="360" w:lineRule="auto"/>
        <w:ind w:firstLine="426"/>
        <w:jc w:val="both"/>
      </w:pPr>
      <w:r>
        <w:t>Собственные средства.</w:t>
      </w:r>
    </w:p>
    <w:p w14:paraId="5E61CE29" w14:textId="77777777" w:rsidR="00312A2E" w:rsidRPr="00E1320E" w:rsidRDefault="00312A2E" w:rsidP="009D2BF5">
      <w:pPr>
        <w:pStyle w:val="a4"/>
        <w:numPr>
          <w:ilvl w:val="0"/>
          <w:numId w:val="1"/>
        </w:numPr>
        <w:spacing w:line="360" w:lineRule="auto"/>
        <w:ind w:left="0" w:firstLine="426"/>
        <w:jc w:val="both"/>
        <w:rPr>
          <w:b/>
        </w:rPr>
      </w:pPr>
      <w:r w:rsidRPr="00E1320E">
        <w:rPr>
          <w:b/>
        </w:rPr>
        <w:t>Сроки выполнения работ:</w:t>
      </w:r>
    </w:p>
    <w:p w14:paraId="692EF16E" w14:textId="77777777" w:rsidR="00312A2E" w:rsidRPr="00E1320E" w:rsidRDefault="00312A2E" w:rsidP="009D2BF5">
      <w:pPr>
        <w:spacing w:line="360" w:lineRule="auto"/>
        <w:ind w:firstLine="426"/>
        <w:jc w:val="both"/>
      </w:pPr>
      <w:r w:rsidRPr="00E1320E">
        <w:t xml:space="preserve">Начало работ – с момента заключения </w:t>
      </w:r>
      <w:r w:rsidR="004E397C">
        <w:t>Договора.</w:t>
      </w:r>
    </w:p>
    <w:p w14:paraId="48F0F070" w14:textId="335F0E2A" w:rsidR="00312A2E" w:rsidRPr="00E1320E" w:rsidRDefault="00312A2E" w:rsidP="009D2BF5">
      <w:pPr>
        <w:spacing w:line="360" w:lineRule="auto"/>
        <w:ind w:firstLine="426"/>
        <w:jc w:val="both"/>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BB6076">
        <w:rPr>
          <w:color w:val="000000"/>
        </w:rPr>
        <w:t>6</w:t>
      </w:r>
      <w:r w:rsidR="004006B2">
        <w:rPr>
          <w:color w:val="000000"/>
        </w:rPr>
        <w:t>0</w:t>
      </w:r>
      <w:r w:rsidRPr="00726C36">
        <w:rPr>
          <w:color w:val="000000"/>
        </w:rPr>
        <w:t xml:space="preserve"> (</w:t>
      </w:r>
      <w:r w:rsidR="00BB6076">
        <w:rPr>
          <w:color w:val="000000"/>
        </w:rPr>
        <w:t>шестидесяти</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9D2BF5">
      <w:pPr>
        <w:pStyle w:val="a4"/>
        <w:numPr>
          <w:ilvl w:val="0"/>
          <w:numId w:val="1"/>
        </w:numPr>
        <w:spacing w:line="360" w:lineRule="auto"/>
        <w:ind w:left="0" w:firstLine="426"/>
        <w:jc w:val="both"/>
        <w:rPr>
          <w:b/>
        </w:rPr>
      </w:pPr>
      <w:r w:rsidRPr="00E1320E">
        <w:rPr>
          <w:b/>
        </w:rPr>
        <w:t xml:space="preserve">Исходные данные: </w:t>
      </w:r>
    </w:p>
    <w:p w14:paraId="106A40EF" w14:textId="77777777" w:rsidR="00C671C1" w:rsidRPr="00E1320E" w:rsidRDefault="00C671C1" w:rsidP="009D2BF5">
      <w:pPr>
        <w:spacing w:line="360" w:lineRule="auto"/>
        <w:ind w:firstLine="426"/>
        <w:jc w:val="both"/>
      </w:pPr>
      <w:r w:rsidRPr="00E1320E">
        <w:t>Локальный сметный расчет</w:t>
      </w:r>
      <w:r w:rsidR="00F53556" w:rsidRPr="00E1320E">
        <w:t>.</w:t>
      </w:r>
    </w:p>
    <w:p w14:paraId="5749D682" w14:textId="77777777" w:rsidR="00732259" w:rsidRPr="00E1320E" w:rsidRDefault="00732259" w:rsidP="009D2BF5">
      <w:pPr>
        <w:pStyle w:val="a4"/>
        <w:numPr>
          <w:ilvl w:val="0"/>
          <w:numId w:val="1"/>
        </w:numPr>
        <w:spacing w:line="360" w:lineRule="auto"/>
        <w:ind w:left="0" w:firstLine="426"/>
        <w:jc w:val="both"/>
        <w:rPr>
          <w:b/>
        </w:rPr>
      </w:pPr>
      <w:r w:rsidRPr="00E1320E">
        <w:rPr>
          <w:b/>
        </w:rPr>
        <w:t>Виды выполняемых работ:</w:t>
      </w:r>
    </w:p>
    <w:p w14:paraId="46B71038" w14:textId="77777777" w:rsidR="00C91353" w:rsidRDefault="00DF3671" w:rsidP="009D2BF5">
      <w:pPr>
        <w:spacing w:line="360" w:lineRule="auto"/>
        <w:ind w:firstLine="426"/>
        <w:jc w:val="both"/>
      </w:pPr>
      <w:r>
        <w:t>Капитальный ремонт</w:t>
      </w:r>
      <w:r w:rsidR="00086266" w:rsidRPr="00E1320E">
        <w:t xml:space="preserve"> </w:t>
      </w:r>
      <w:r w:rsidR="00156AFB" w:rsidRPr="00E1320E">
        <w:t xml:space="preserve">водопровода: </w:t>
      </w:r>
    </w:p>
    <w:p w14:paraId="57D8B5CA" w14:textId="0BA14EFB" w:rsidR="003E3A6B" w:rsidRDefault="003E3A6B" w:rsidP="009D2BF5">
      <w:pPr>
        <w:pStyle w:val="a4"/>
        <w:numPr>
          <w:ilvl w:val="0"/>
          <w:numId w:val="11"/>
        </w:numPr>
        <w:spacing w:line="360" w:lineRule="auto"/>
        <w:ind w:left="0" w:firstLine="426"/>
        <w:jc w:val="both"/>
      </w:pPr>
      <w:r>
        <w:t>Д</w:t>
      </w:r>
      <w:r w:rsidRPr="00E1320E">
        <w:t>-</w:t>
      </w:r>
      <w:r w:rsidR="003C7B54">
        <w:t>110х6,6</w:t>
      </w:r>
      <w:r w:rsidRPr="00E1320E">
        <w:t>мм</w:t>
      </w:r>
      <w:r>
        <w:t>;</w:t>
      </w:r>
      <w:r w:rsidRPr="00E1320E">
        <w:t xml:space="preserve"> </w:t>
      </w:r>
      <w:r>
        <w:t>Н=2,5м;</w:t>
      </w:r>
      <w:r w:rsidRPr="00C91353">
        <w:t xml:space="preserve"> L</w:t>
      </w:r>
      <w:r>
        <w:t>=</w:t>
      </w:r>
      <w:r w:rsidR="00384A1E">
        <w:t>100</w:t>
      </w:r>
      <w:r w:rsidRPr="00E1320E">
        <w:t xml:space="preserve">м – сухой грунт, </w:t>
      </w:r>
      <w:r w:rsidR="00862677">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6BD49303" w14:textId="503A2726" w:rsidR="00F12916" w:rsidRDefault="00A1423D" w:rsidP="009D2BF5">
      <w:pPr>
        <w:pStyle w:val="a4"/>
        <w:numPr>
          <w:ilvl w:val="0"/>
          <w:numId w:val="11"/>
        </w:numPr>
        <w:spacing w:line="360" w:lineRule="auto"/>
        <w:ind w:left="0" w:firstLine="426"/>
        <w:jc w:val="both"/>
      </w:pPr>
      <w:r>
        <w:t>Д-</w:t>
      </w:r>
      <w:r w:rsidR="003C7B54">
        <w:t>160</w:t>
      </w:r>
      <w:r>
        <w:t>х</w:t>
      </w:r>
      <w:r w:rsidR="003C7B54">
        <w:t>9,5</w:t>
      </w:r>
      <w:r w:rsidRPr="00E1320E">
        <w:t>мм</w:t>
      </w:r>
      <w:r>
        <w:t>;</w:t>
      </w:r>
      <w:r w:rsidRPr="00E1320E">
        <w:t xml:space="preserve"> </w:t>
      </w:r>
      <w:r w:rsidR="00EA7F60">
        <w:t>Н=2,5</w:t>
      </w:r>
      <w:r>
        <w:t>м;</w:t>
      </w:r>
      <w:r w:rsidRPr="00C91353">
        <w:t xml:space="preserve"> L</w:t>
      </w:r>
      <w:r>
        <w:t>=</w:t>
      </w:r>
      <w:r w:rsidR="003C7B54">
        <w:t>27</w:t>
      </w:r>
      <w:r w:rsidRPr="00E1320E">
        <w:t xml:space="preserve">м – сухой грунт, </w:t>
      </w:r>
      <w:r w:rsidR="003C7B54">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rsidR="00EA7F60">
        <w:t>.</w:t>
      </w:r>
    </w:p>
    <w:p w14:paraId="21703B6D" w14:textId="5EB24565" w:rsidR="003C7B54" w:rsidRDefault="003C7B54" w:rsidP="009D2BF5">
      <w:pPr>
        <w:pStyle w:val="a4"/>
        <w:numPr>
          <w:ilvl w:val="0"/>
          <w:numId w:val="11"/>
        </w:numPr>
        <w:spacing w:line="360" w:lineRule="auto"/>
        <w:ind w:left="0" w:firstLine="426"/>
        <w:jc w:val="both"/>
      </w:pPr>
      <w:r w:rsidRPr="003C7B54">
        <w:t>Д-315х18,7мм; Н=2,5м; L=</w:t>
      </w:r>
      <w:r w:rsidR="00384A1E">
        <w:t>265</w:t>
      </w:r>
      <w:r w:rsidRPr="003C7B54">
        <w:t xml:space="preserve">м – сухой грунт, бестраншейный способ прокладки. </w:t>
      </w:r>
      <w:r w:rsidRPr="003C7B54">
        <w:br/>
        <w:t>Трубы полиэтиленовые питьевые ПЭ 100 SDR 17 ГОСТ 18599-2001.</w:t>
      </w:r>
    </w:p>
    <w:p w14:paraId="584D2BAA" w14:textId="72EBE665" w:rsidR="003C7B54" w:rsidRDefault="003C7B54" w:rsidP="009D2BF5">
      <w:pPr>
        <w:pStyle w:val="a4"/>
        <w:numPr>
          <w:ilvl w:val="0"/>
          <w:numId w:val="11"/>
        </w:numPr>
        <w:spacing w:line="360" w:lineRule="auto"/>
        <w:ind w:left="0" w:firstLine="426"/>
        <w:jc w:val="both"/>
      </w:pPr>
      <w:r>
        <w:t>Д</w:t>
      </w:r>
      <w:r w:rsidRPr="00E1320E">
        <w:t>-</w:t>
      </w:r>
      <w:r>
        <w:t>110х6,6</w:t>
      </w:r>
      <w:r w:rsidRPr="00E1320E">
        <w:t>мм</w:t>
      </w:r>
      <w:r w:rsidRPr="003C7B54">
        <w:t>; Н=2,5м; L=</w:t>
      </w:r>
      <w:r>
        <w:t>20</w:t>
      </w:r>
      <w:r w:rsidRPr="003C7B54">
        <w:t xml:space="preserve">м – сухой грунт, бестраншейный способ прокладки. </w:t>
      </w:r>
      <w:r w:rsidRPr="003C7B54">
        <w:br/>
        <w:t>Трубы полиэтиленовые питьевые ПЭ 100 SDR 17 ГОСТ 18599-2001.</w:t>
      </w:r>
    </w:p>
    <w:p w14:paraId="2008CC79" w14:textId="77777777" w:rsidR="00384A1E" w:rsidRDefault="00384A1E" w:rsidP="009D2BF5">
      <w:pPr>
        <w:pStyle w:val="a5"/>
        <w:numPr>
          <w:ilvl w:val="0"/>
          <w:numId w:val="11"/>
        </w:numPr>
        <w:spacing w:after="0" w:line="360" w:lineRule="auto"/>
      </w:pPr>
      <w:r>
        <w:lastRenderedPageBreak/>
        <w:t>Устройство основания под трубопровод из песка или отсева.</w:t>
      </w:r>
    </w:p>
    <w:p w14:paraId="5EF2B4A3" w14:textId="5D6549F1" w:rsidR="00384A1E" w:rsidRPr="003C7B54" w:rsidRDefault="00384A1E" w:rsidP="009D2BF5">
      <w:pPr>
        <w:pStyle w:val="a5"/>
        <w:numPr>
          <w:ilvl w:val="0"/>
          <w:numId w:val="11"/>
        </w:numPr>
        <w:spacing w:after="0" w:line="360" w:lineRule="auto"/>
      </w:pPr>
      <w:r>
        <w:t>Устройство защитного слоя трубопровода из песка или отсева.</w:t>
      </w:r>
    </w:p>
    <w:p w14:paraId="34E15A61" w14:textId="69B40DCE" w:rsidR="00A1423D" w:rsidRDefault="00F12916" w:rsidP="009D2BF5">
      <w:pPr>
        <w:pStyle w:val="a4"/>
        <w:numPr>
          <w:ilvl w:val="0"/>
          <w:numId w:val="11"/>
        </w:numPr>
        <w:spacing w:line="360" w:lineRule="auto"/>
        <w:jc w:val="both"/>
      </w:pPr>
      <w:r>
        <w:t xml:space="preserve">Установка запорной арматуры в существующих колодцах - </w:t>
      </w:r>
      <w:r w:rsidR="00384A1E">
        <w:t>5</w:t>
      </w:r>
      <w:r>
        <w:t>шт.</w:t>
      </w:r>
    </w:p>
    <w:p w14:paraId="6C4A5166" w14:textId="0A85D06C" w:rsidR="00F12916" w:rsidRDefault="00F12916" w:rsidP="009D2BF5">
      <w:pPr>
        <w:pStyle w:val="a4"/>
        <w:numPr>
          <w:ilvl w:val="0"/>
          <w:numId w:val="11"/>
        </w:numPr>
        <w:spacing w:line="360" w:lineRule="auto"/>
        <w:jc w:val="both"/>
      </w:pPr>
      <w:r>
        <w:t xml:space="preserve">Ремонт водопроводных колодцев – </w:t>
      </w:r>
      <w:r w:rsidR="009D2BF5">
        <w:t>3</w:t>
      </w:r>
      <w:r>
        <w:t>шт.</w:t>
      </w:r>
    </w:p>
    <w:p w14:paraId="36D0E89A" w14:textId="1B340550" w:rsidR="00F12916" w:rsidRDefault="00F12916" w:rsidP="009D2BF5">
      <w:pPr>
        <w:pStyle w:val="a5"/>
        <w:numPr>
          <w:ilvl w:val="0"/>
          <w:numId w:val="11"/>
        </w:numPr>
        <w:spacing w:after="0" w:line="360" w:lineRule="auto"/>
        <w:jc w:val="both"/>
      </w:pPr>
      <w:r>
        <w:t>Нар</w:t>
      </w:r>
      <w:r w:rsidR="00011186">
        <w:t>ужная гидроизоляция водопроводных</w:t>
      </w:r>
      <w:r>
        <w:t xml:space="preserve"> колодц</w:t>
      </w:r>
      <w:r w:rsidR="00011186">
        <w:t>ев</w:t>
      </w:r>
      <w:r>
        <w:t>.</w:t>
      </w:r>
    </w:p>
    <w:p w14:paraId="3879E19C" w14:textId="5670322B" w:rsidR="00F12916" w:rsidRDefault="00F12916" w:rsidP="009D2BF5">
      <w:pPr>
        <w:pStyle w:val="a5"/>
        <w:numPr>
          <w:ilvl w:val="0"/>
          <w:numId w:val="11"/>
        </w:numPr>
        <w:spacing w:after="0" w:line="360" w:lineRule="auto"/>
        <w:jc w:val="both"/>
      </w:pPr>
      <w:r>
        <w:t xml:space="preserve">Установка ходовых скоб в </w:t>
      </w:r>
      <w:r w:rsidR="00011186">
        <w:t>водопроводных колодцах.</w:t>
      </w:r>
    </w:p>
    <w:p w14:paraId="294171B7" w14:textId="09C050B0" w:rsidR="00384A1E" w:rsidRDefault="00384A1E" w:rsidP="009D2BF5">
      <w:pPr>
        <w:pStyle w:val="a4"/>
        <w:numPr>
          <w:ilvl w:val="0"/>
          <w:numId w:val="11"/>
        </w:numPr>
        <w:spacing w:line="360" w:lineRule="auto"/>
      </w:pPr>
      <w:r>
        <w:t>Перевозка, размещение и хранение отходов 4 класса опасности.</w:t>
      </w:r>
    </w:p>
    <w:p w14:paraId="0B399E6E" w14:textId="77777777" w:rsidR="00545CDC" w:rsidRDefault="00545CDC" w:rsidP="009D2BF5">
      <w:pPr>
        <w:pStyle w:val="a5"/>
        <w:numPr>
          <w:ilvl w:val="0"/>
          <w:numId w:val="11"/>
        </w:numPr>
        <w:spacing w:after="0" w:line="360" w:lineRule="auto"/>
        <w:jc w:val="both"/>
      </w:pPr>
      <w:r>
        <w:t>Промывка с дезинфекцией трубопровода.</w:t>
      </w:r>
    </w:p>
    <w:p w14:paraId="1B9DDAC5" w14:textId="2DC540F7" w:rsidR="00384A1E" w:rsidRDefault="00384A1E" w:rsidP="009D2BF5">
      <w:pPr>
        <w:pStyle w:val="a5"/>
        <w:numPr>
          <w:ilvl w:val="0"/>
          <w:numId w:val="11"/>
        </w:numPr>
        <w:spacing w:after="0" w:line="360" w:lineRule="auto"/>
        <w:jc w:val="both"/>
      </w:pPr>
      <w:r>
        <w:t>Восстановление нарушенного благоустройства.</w:t>
      </w:r>
      <w:r>
        <w:t xml:space="preserve"> Планировка территории.</w:t>
      </w:r>
    </w:p>
    <w:p w14:paraId="11DE7E27" w14:textId="1F34AF1A" w:rsidR="00384A1E" w:rsidRDefault="00384A1E" w:rsidP="009D2BF5">
      <w:pPr>
        <w:pStyle w:val="a5"/>
        <w:numPr>
          <w:ilvl w:val="0"/>
          <w:numId w:val="11"/>
        </w:numPr>
        <w:spacing w:after="0" w:line="360" w:lineRule="auto"/>
        <w:jc w:val="both"/>
      </w:pPr>
      <w:r>
        <w:t>Восстановление асфальтированного тротуара</w:t>
      </w:r>
      <w:r w:rsidR="00266BF3">
        <w:t>, проезжей части парковки</w:t>
      </w:r>
      <w:r>
        <w:t>.</w:t>
      </w:r>
    </w:p>
    <w:p w14:paraId="693AA746" w14:textId="77777777" w:rsidR="00384A1E" w:rsidRPr="00384A1E" w:rsidRDefault="00384A1E" w:rsidP="009D2BF5">
      <w:pPr>
        <w:pStyle w:val="a5"/>
        <w:numPr>
          <w:ilvl w:val="0"/>
          <w:numId w:val="11"/>
        </w:numPr>
        <w:tabs>
          <w:tab w:val="left" w:pos="851"/>
        </w:tabs>
        <w:spacing w:after="0" w:line="360" w:lineRule="auto"/>
        <w:ind w:left="0" w:firstLine="426"/>
        <w:jc w:val="both"/>
      </w:pPr>
      <w:r>
        <w:t>Восстановление газона, внесение растительного слоя земли</w:t>
      </w:r>
      <w:r>
        <w:t>.</w:t>
      </w:r>
      <w:r w:rsidRPr="0017190D">
        <w:rPr>
          <w:rFonts w:eastAsia="Calibri"/>
          <w:lang w:eastAsia="en-US"/>
        </w:rPr>
        <w:t xml:space="preserve"> </w:t>
      </w:r>
    </w:p>
    <w:p w14:paraId="6CEAEE83" w14:textId="3D11A6D9" w:rsidR="00F12916" w:rsidRPr="00EA7F60" w:rsidRDefault="00F12916" w:rsidP="009D2BF5">
      <w:pPr>
        <w:pStyle w:val="a5"/>
        <w:numPr>
          <w:ilvl w:val="0"/>
          <w:numId w:val="11"/>
        </w:numPr>
        <w:tabs>
          <w:tab w:val="left" w:pos="851"/>
        </w:tabs>
        <w:spacing w:after="0" w:line="360" w:lineRule="auto"/>
        <w:ind w:left="0" w:firstLine="426"/>
        <w:jc w:val="both"/>
      </w:pPr>
      <w:r w:rsidRPr="0017190D">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14:paraId="49A42917" w14:textId="77777777" w:rsidR="0082066E" w:rsidRPr="00E1320E" w:rsidRDefault="0082066E" w:rsidP="009D2BF5">
      <w:pPr>
        <w:pStyle w:val="a5"/>
        <w:numPr>
          <w:ilvl w:val="0"/>
          <w:numId w:val="1"/>
        </w:numPr>
        <w:spacing w:after="0" w:line="360" w:lineRule="auto"/>
        <w:ind w:left="0" w:firstLine="426"/>
        <w:jc w:val="both"/>
        <w:rPr>
          <w:b/>
        </w:rPr>
      </w:pPr>
      <w:r w:rsidRPr="00E1320E">
        <w:rPr>
          <w:b/>
        </w:rPr>
        <w:t>Характеристики, требования к качеству применяемых материалов</w:t>
      </w:r>
    </w:p>
    <w:p w14:paraId="39C940B5" w14:textId="77777777" w:rsidR="00545CDC" w:rsidRPr="00145A5C" w:rsidRDefault="00545CDC" w:rsidP="009D2BF5">
      <w:pPr>
        <w:shd w:val="clear" w:color="auto" w:fill="FFFFFF"/>
        <w:spacing w:line="360" w:lineRule="auto"/>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78C42210" w14:textId="77777777" w:rsidR="00091191" w:rsidRDefault="0082066E" w:rsidP="009D2BF5">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9D2BF5">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9D2BF5">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9D2BF5">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9D2BF5">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9D2BF5">
      <w:pPr>
        <w:shd w:val="clear" w:color="auto" w:fill="FFFFFF"/>
        <w:spacing w:line="360" w:lineRule="auto"/>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9D2BF5">
      <w:pPr>
        <w:pStyle w:val="a5"/>
        <w:numPr>
          <w:ilvl w:val="0"/>
          <w:numId w:val="1"/>
        </w:numPr>
        <w:spacing w:after="0" w:line="360" w:lineRule="auto"/>
        <w:ind w:left="0" w:firstLine="426"/>
        <w:jc w:val="both"/>
        <w:rPr>
          <w:b/>
        </w:rPr>
      </w:pPr>
      <w:r w:rsidRPr="00E1320E">
        <w:rPr>
          <w:b/>
        </w:rPr>
        <w:lastRenderedPageBreak/>
        <w:t>Условия выполнения работ</w:t>
      </w:r>
      <w:r w:rsidR="00726C36">
        <w:rPr>
          <w:b/>
        </w:rPr>
        <w:t>:</w:t>
      </w:r>
    </w:p>
    <w:p w14:paraId="6294B505" w14:textId="77777777" w:rsidR="00DF284E" w:rsidRDefault="00896C64" w:rsidP="009D2BF5">
      <w:pPr>
        <w:pStyle w:val="a8"/>
        <w:spacing w:after="0" w:line="360" w:lineRule="auto"/>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77777777" w:rsidR="00C91353" w:rsidRDefault="00C91353" w:rsidP="009D2BF5">
      <w:pPr>
        <w:pStyle w:val="a8"/>
        <w:spacing w:after="0" w:line="360" w:lineRule="auto"/>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9D2BF5">
      <w:pPr>
        <w:pStyle w:val="a4"/>
        <w:tabs>
          <w:tab w:val="left" w:pos="851"/>
          <w:tab w:val="left" w:pos="993"/>
        </w:tabs>
        <w:spacing w:line="360" w:lineRule="auto"/>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9D2BF5">
      <w:pPr>
        <w:pStyle w:val="a8"/>
        <w:spacing w:after="0" w:line="360" w:lineRule="auto"/>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9D2BF5">
      <w:pPr>
        <w:pStyle w:val="2"/>
        <w:spacing w:after="0" w:line="36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9D2BF5">
      <w:pPr>
        <w:tabs>
          <w:tab w:val="left" w:pos="851"/>
          <w:tab w:val="left" w:pos="993"/>
        </w:tabs>
        <w:spacing w:line="360" w:lineRule="auto"/>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9D2BF5">
      <w:pPr>
        <w:widowControl w:val="0"/>
        <w:shd w:val="clear" w:color="auto" w:fill="FFFFFF"/>
        <w:autoSpaceDE w:val="0"/>
        <w:autoSpaceDN w:val="0"/>
        <w:adjustRightInd w:val="0"/>
        <w:spacing w:line="360" w:lineRule="auto"/>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9D2BF5">
      <w:pPr>
        <w:widowControl w:val="0"/>
        <w:shd w:val="clear" w:color="auto" w:fill="FFFFFF"/>
        <w:autoSpaceDE w:val="0"/>
        <w:autoSpaceDN w:val="0"/>
        <w:adjustRightInd w:val="0"/>
        <w:spacing w:line="360" w:lineRule="auto"/>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9D2BF5">
      <w:pPr>
        <w:widowControl w:val="0"/>
        <w:shd w:val="clear" w:color="auto" w:fill="FFFFFF"/>
        <w:autoSpaceDE w:val="0"/>
        <w:autoSpaceDN w:val="0"/>
        <w:adjustRightInd w:val="0"/>
        <w:spacing w:line="360" w:lineRule="auto"/>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9D2BF5">
      <w:pPr>
        <w:widowControl w:val="0"/>
        <w:shd w:val="clear" w:color="auto" w:fill="FFFFFF"/>
        <w:autoSpaceDE w:val="0"/>
        <w:autoSpaceDN w:val="0"/>
        <w:adjustRightInd w:val="0"/>
        <w:spacing w:line="360" w:lineRule="auto"/>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77777777" w:rsidR="00DF284E" w:rsidRDefault="00DF284E" w:rsidP="009D2BF5">
      <w:pPr>
        <w:widowControl w:val="0"/>
        <w:shd w:val="clear" w:color="auto" w:fill="FFFFFF"/>
        <w:autoSpaceDE w:val="0"/>
        <w:autoSpaceDN w:val="0"/>
        <w:adjustRightInd w:val="0"/>
        <w:spacing w:line="360" w:lineRule="auto"/>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29AD0BD" w14:textId="77777777" w:rsidR="00DF284E" w:rsidRPr="00DF284E" w:rsidRDefault="00DF284E" w:rsidP="009D2BF5">
      <w:pPr>
        <w:pStyle w:val="a4"/>
        <w:widowControl w:val="0"/>
        <w:numPr>
          <w:ilvl w:val="0"/>
          <w:numId w:val="1"/>
        </w:numPr>
        <w:shd w:val="clear" w:color="auto" w:fill="FFFFFF"/>
        <w:autoSpaceDE w:val="0"/>
        <w:autoSpaceDN w:val="0"/>
        <w:adjustRightInd w:val="0"/>
        <w:spacing w:line="360" w:lineRule="auto"/>
        <w:ind w:left="0" w:firstLine="426"/>
        <w:jc w:val="both"/>
        <w:rPr>
          <w:b/>
          <w:color w:val="000000"/>
        </w:rPr>
      </w:pPr>
      <w:r w:rsidRPr="00DF284E">
        <w:rPr>
          <w:b/>
          <w:color w:val="000000"/>
        </w:rPr>
        <w:t>Применяемые нормативные документы</w:t>
      </w:r>
      <w:r w:rsidR="00726C36">
        <w:rPr>
          <w:b/>
          <w:color w:val="000000"/>
        </w:rPr>
        <w:t>:</w:t>
      </w:r>
    </w:p>
    <w:p w14:paraId="3BFDC5F3" w14:textId="11128200" w:rsidR="0053544A" w:rsidRPr="00DF284E" w:rsidRDefault="0053544A" w:rsidP="009D2BF5">
      <w:pPr>
        <w:pStyle w:val="a4"/>
        <w:numPr>
          <w:ilvl w:val="0"/>
          <w:numId w:val="10"/>
        </w:numPr>
        <w:spacing w:line="360" w:lineRule="auto"/>
        <w:ind w:left="0" w:right="114" w:firstLine="360"/>
        <w:jc w:val="both"/>
        <w:rPr>
          <w:rFonts w:eastAsia="Calibri"/>
        </w:rPr>
      </w:pPr>
      <w:r>
        <w:rPr>
          <w:rFonts w:eastAsia="Calibri"/>
        </w:rPr>
        <w:lastRenderedPageBreak/>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14:paraId="59AC6F59" w14:textId="77777777" w:rsidR="00DF284E" w:rsidRDefault="00DF284E" w:rsidP="009D2BF5">
      <w:pPr>
        <w:numPr>
          <w:ilvl w:val="0"/>
          <w:numId w:val="10"/>
        </w:numPr>
        <w:spacing w:line="360" w:lineRule="auto"/>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7777777" w:rsidR="00545CDC" w:rsidRPr="00F24691" w:rsidRDefault="00545CDC" w:rsidP="009D2BF5">
      <w:pPr>
        <w:pStyle w:val="a4"/>
        <w:numPr>
          <w:ilvl w:val="0"/>
          <w:numId w:val="10"/>
        </w:numPr>
        <w:spacing w:line="360" w:lineRule="auto"/>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9D2BF5">
      <w:pPr>
        <w:pStyle w:val="a4"/>
        <w:numPr>
          <w:ilvl w:val="0"/>
          <w:numId w:val="10"/>
        </w:numPr>
        <w:spacing w:line="360" w:lineRule="auto"/>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9D2BF5">
      <w:pPr>
        <w:pStyle w:val="a4"/>
        <w:numPr>
          <w:ilvl w:val="0"/>
          <w:numId w:val="10"/>
        </w:numPr>
        <w:spacing w:line="360" w:lineRule="auto"/>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9D2BF5">
      <w:pPr>
        <w:pStyle w:val="a4"/>
        <w:numPr>
          <w:ilvl w:val="0"/>
          <w:numId w:val="10"/>
        </w:numPr>
        <w:spacing w:line="360" w:lineRule="auto"/>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9D2BF5">
      <w:pPr>
        <w:pStyle w:val="a4"/>
        <w:numPr>
          <w:ilvl w:val="0"/>
          <w:numId w:val="10"/>
        </w:numPr>
        <w:spacing w:line="360" w:lineRule="auto"/>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9D2BF5">
      <w:pPr>
        <w:pStyle w:val="a4"/>
        <w:numPr>
          <w:ilvl w:val="0"/>
          <w:numId w:val="10"/>
        </w:numPr>
        <w:spacing w:line="360" w:lineRule="auto"/>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9D2BF5">
      <w:pPr>
        <w:pStyle w:val="a4"/>
        <w:numPr>
          <w:ilvl w:val="0"/>
          <w:numId w:val="10"/>
        </w:numPr>
        <w:spacing w:line="360" w:lineRule="auto"/>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9D2BF5">
      <w:pPr>
        <w:pStyle w:val="a4"/>
        <w:numPr>
          <w:ilvl w:val="0"/>
          <w:numId w:val="10"/>
        </w:numPr>
        <w:spacing w:line="360" w:lineRule="auto"/>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9D2BF5">
      <w:pPr>
        <w:pStyle w:val="a4"/>
        <w:numPr>
          <w:ilvl w:val="0"/>
          <w:numId w:val="10"/>
        </w:numPr>
        <w:spacing w:line="360" w:lineRule="auto"/>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9D2BF5">
      <w:pPr>
        <w:pStyle w:val="a4"/>
        <w:numPr>
          <w:ilvl w:val="0"/>
          <w:numId w:val="10"/>
        </w:numPr>
        <w:spacing w:line="360" w:lineRule="auto"/>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9D2BF5">
      <w:pPr>
        <w:pStyle w:val="a4"/>
        <w:numPr>
          <w:ilvl w:val="0"/>
          <w:numId w:val="10"/>
        </w:numPr>
        <w:spacing w:line="360" w:lineRule="auto"/>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6C077797" w14:textId="77777777" w:rsidR="0053544A" w:rsidRDefault="00545CDC" w:rsidP="009D2BF5">
      <w:pPr>
        <w:pStyle w:val="a4"/>
        <w:numPr>
          <w:ilvl w:val="0"/>
          <w:numId w:val="10"/>
        </w:numPr>
        <w:spacing w:line="360" w:lineRule="auto"/>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1125004" w14:textId="01386857" w:rsidR="0053544A" w:rsidRPr="0053544A" w:rsidRDefault="0053544A" w:rsidP="009D2BF5">
      <w:pPr>
        <w:pStyle w:val="a4"/>
        <w:numPr>
          <w:ilvl w:val="0"/>
          <w:numId w:val="10"/>
        </w:numPr>
        <w:spacing w:line="360" w:lineRule="auto"/>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63B00F7" w14:textId="77777777" w:rsidR="00545CDC" w:rsidRPr="00F82459" w:rsidRDefault="00545CDC" w:rsidP="009D2BF5">
      <w:pPr>
        <w:pStyle w:val="a4"/>
        <w:numPr>
          <w:ilvl w:val="0"/>
          <w:numId w:val="10"/>
        </w:numPr>
        <w:spacing w:line="360" w:lineRule="auto"/>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40A0D9D3" w14:textId="77777777" w:rsidR="00545CDC" w:rsidRPr="00F82459" w:rsidRDefault="00545CDC" w:rsidP="009D2BF5">
      <w:pPr>
        <w:pStyle w:val="a4"/>
        <w:numPr>
          <w:ilvl w:val="0"/>
          <w:numId w:val="10"/>
        </w:numPr>
        <w:spacing w:line="360" w:lineRule="auto"/>
        <w:ind w:left="0" w:right="114" w:firstLine="360"/>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77777777" w:rsidR="00545CDC" w:rsidRPr="006D627D" w:rsidRDefault="00545CDC" w:rsidP="009D2BF5">
      <w:pPr>
        <w:pStyle w:val="a4"/>
        <w:numPr>
          <w:ilvl w:val="0"/>
          <w:numId w:val="10"/>
        </w:numPr>
        <w:spacing w:line="360" w:lineRule="auto"/>
        <w:ind w:left="0" w:right="114" w:firstLine="360"/>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77E49FF8" w14:textId="77777777" w:rsidR="00545CDC" w:rsidRPr="00F82459" w:rsidRDefault="00545CDC" w:rsidP="009D2BF5">
      <w:pPr>
        <w:pStyle w:val="a4"/>
        <w:numPr>
          <w:ilvl w:val="0"/>
          <w:numId w:val="10"/>
        </w:numPr>
        <w:spacing w:line="360" w:lineRule="auto"/>
        <w:ind w:left="0" w:right="114" w:firstLine="360"/>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8D9F564" w14:textId="77777777" w:rsidR="00545CDC" w:rsidRPr="00F82459" w:rsidRDefault="00545CDC" w:rsidP="009D2BF5">
      <w:pPr>
        <w:pStyle w:val="a4"/>
        <w:numPr>
          <w:ilvl w:val="0"/>
          <w:numId w:val="10"/>
        </w:numPr>
        <w:spacing w:line="360" w:lineRule="auto"/>
        <w:ind w:left="0" w:right="114" w:firstLine="360"/>
        <w:jc w:val="both"/>
        <w:rPr>
          <w:rFonts w:eastAsia="Calibri"/>
        </w:rPr>
      </w:pPr>
      <w:r w:rsidRPr="00C76092">
        <w:rPr>
          <w:rFonts w:eastAsia="Calibri"/>
        </w:rPr>
        <w:lastRenderedPageBreak/>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7CA7C063" w14:textId="77777777" w:rsidR="00545CDC" w:rsidRPr="00F82459" w:rsidRDefault="00545CDC" w:rsidP="009D2BF5">
      <w:pPr>
        <w:pStyle w:val="a4"/>
        <w:numPr>
          <w:ilvl w:val="0"/>
          <w:numId w:val="10"/>
        </w:numPr>
        <w:spacing w:line="360" w:lineRule="auto"/>
        <w:ind w:left="0" w:right="114" w:firstLine="360"/>
        <w:jc w:val="both"/>
        <w:rPr>
          <w:rFonts w:eastAsia="Calibri"/>
        </w:rPr>
      </w:pPr>
      <w:r w:rsidRPr="00F82459">
        <w:rPr>
          <w:rFonts w:eastAsia="Calibri"/>
        </w:rPr>
        <w:t>Федеральный Закон от 10.01.2002 № 7-ФЗ «Об охране окружающей среды».</w:t>
      </w:r>
    </w:p>
    <w:p w14:paraId="4A8C859C" w14:textId="77777777" w:rsidR="00545CDC" w:rsidRPr="00F82459" w:rsidRDefault="00545CDC" w:rsidP="009D2BF5">
      <w:pPr>
        <w:pStyle w:val="a4"/>
        <w:numPr>
          <w:ilvl w:val="0"/>
          <w:numId w:val="10"/>
        </w:numPr>
        <w:spacing w:line="360" w:lineRule="auto"/>
        <w:ind w:left="0" w:right="114" w:firstLine="360"/>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BEE7E07" w14:textId="77777777" w:rsidR="00545CDC" w:rsidRPr="00F82459" w:rsidRDefault="00545CDC" w:rsidP="009D2BF5">
      <w:pPr>
        <w:pStyle w:val="a4"/>
        <w:numPr>
          <w:ilvl w:val="0"/>
          <w:numId w:val="10"/>
        </w:numPr>
        <w:spacing w:line="360" w:lineRule="auto"/>
        <w:ind w:left="0" w:right="114" w:firstLine="360"/>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5765898A" w14:textId="4A9968E5" w:rsidR="00545CDC" w:rsidRDefault="00545CDC" w:rsidP="009D2BF5">
      <w:pPr>
        <w:pStyle w:val="a4"/>
        <w:numPr>
          <w:ilvl w:val="0"/>
          <w:numId w:val="10"/>
        </w:numPr>
        <w:spacing w:line="360" w:lineRule="auto"/>
        <w:ind w:left="0" w:right="114" w:firstLine="360"/>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7A59F2BA" w14:textId="7828F225" w:rsidR="009D2BF5" w:rsidRDefault="009D2BF5" w:rsidP="009D2BF5">
      <w:pPr>
        <w:spacing w:line="360" w:lineRule="auto"/>
        <w:ind w:right="114"/>
        <w:jc w:val="both"/>
        <w:rPr>
          <w:rFonts w:eastAsia="Calibri"/>
        </w:rPr>
      </w:pPr>
    </w:p>
    <w:p w14:paraId="55DE672E" w14:textId="77777777" w:rsidR="009D2BF5" w:rsidRPr="009D2BF5" w:rsidRDefault="009D2BF5" w:rsidP="009D2BF5">
      <w:pPr>
        <w:spacing w:line="360" w:lineRule="auto"/>
        <w:ind w:right="114"/>
        <w:jc w:val="both"/>
        <w:rPr>
          <w:rFonts w:eastAsia="Calibri"/>
        </w:rPr>
      </w:pPr>
    </w:p>
    <w:p w14:paraId="6D5A5968" w14:textId="77777777" w:rsidR="0082066E" w:rsidRPr="00E1320E" w:rsidRDefault="0082066E" w:rsidP="009D2BF5">
      <w:pPr>
        <w:pStyle w:val="a7"/>
        <w:numPr>
          <w:ilvl w:val="0"/>
          <w:numId w:val="1"/>
        </w:numPr>
        <w:tabs>
          <w:tab w:val="left" w:pos="851"/>
          <w:tab w:val="left" w:pos="993"/>
        </w:tabs>
        <w:spacing w:after="0" w:line="360" w:lineRule="auto"/>
        <w:ind w:left="0" w:firstLine="36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9D2BF5">
      <w:pPr>
        <w:tabs>
          <w:tab w:val="num" w:pos="426"/>
        </w:tabs>
        <w:spacing w:line="360" w:lineRule="auto"/>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9D2BF5">
      <w:pPr>
        <w:tabs>
          <w:tab w:val="num" w:pos="426"/>
        </w:tabs>
        <w:spacing w:line="360" w:lineRule="auto"/>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5FBCF298" w:rsidR="0082066E" w:rsidRDefault="0082066E" w:rsidP="009D2BF5">
      <w:pPr>
        <w:pStyle w:val="a7"/>
        <w:tabs>
          <w:tab w:val="left" w:pos="851"/>
          <w:tab w:val="left" w:pos="993"/>
        </w:tabs>
        <w:spacing w:after="0" w:line="360" w:lineRule="auto"/>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F0FC3C" w14:textId="77777777" w:rsidR="00271306" w:rsidRPr="00E1320E" w:rsidRDefault="00271306" w:rsidP="009D2BF5">
      <w:pPr>
        <w:pStyle w:val="a4"/>
        <w:numPr>
          <w:ilvl w:val="0"/>
          <w:numId w:val="1"/>
        </w:numPr>
        <w:tabs>
          <w:tab w:val="left" w:pos="851"/>
          <w:tab w:val="left" w:pos="993"/>
        </w:tabs>
        <w:spacing w:line="360" w:lineRule="auto"/>
        <w:jc w:val="both"/>
        <w:rPr>
          <w:b/>
        </w:rPr>
      </w:pPr>
      <w:r w:rsidRPr="00226DF1">
        <w:rPr>
          <w:b/>
        </w:rPr>
        <w:t>Результаты выполненных работ</w:t>
      </w:r>
      <w:r w:rsidR="00726C36">
        <w:rPr>
          <w:b/>
        </w:rPr>
        <w:t>:</w:t>
      </w:r>
    </w:p>
    <w:p w14:paraId="670975FE" w14:textId="77777777" w:rsidR="00271306" w:rsidRDefault="00271306" w:rsidP="009D2BF5">
      <w:pPr>
        <w:widowControl w:val="0"/>
        <w:shd w:val="clear" w:color="auto" w:fill="FFFFFF"/>
        <w:autoSpaceDE w:val="0"/>
        <w:autoSpaceDN w:val="0"/>
        <w:adjustRightInd w:val="0"/>
        <w:spacing w:line="360" w:lineRule="auto"/>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9D2BF5">
      <w:pPr>
        <w:pStyle w:val="a4"/>
        <w:numPr>
          <w:ilvl w:val="0"/>
          <w:numId w:val="1"/>
        </w:numPr>
        <w:tabs>
          <w:tab w:val="left" w:pos="851"/>
          <w:tab w:val="left" w:pos="993"/>
        </w:tabs>
        <w:spacing w:line="360" w:lineRule="auto"/>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9D2BF5">
      <w:pPr>
        <w:tabs>
          <w:tab w:val="left" w:pos="851"/>
          <w:tab w:val="left" w:pos="993"/>
        </w:tabs>
        <w:spacing w:line="360" w:lineRule="auto"/>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9D2BF5">
      <w:pPr>
        <w:shd w:val="clear" w:color="auto" w:fill="FFFFFF"/>
        <w:spacing w:line="360" w:lineRule="auto"/>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9D2BF5" w:rsidP="009D2BF5">
      <w:pPr>
        <w:numPr>
          <w:ilvl w:val="0"/>
          <w:numId w:val="6"/>
        </w:numPr>
        <w:shd w:val="clear" w:color="auto" w:fill="FFFFFF"/>
        <w:spacing w:line="360" w:lineRule="auto"/>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25A17BD2" w14:textId="77777777" w:rsidR="00862677" w:rsidRPr="00DB17D9" w:rsidRDefault="00862677" w:rsidP="009D2BF5">
      <w:pPr>
        <w:pStyle w:val="a4"/>
        <w:numPr>
          <w:ilvl w:val="0"/>
          <w:numId w:val="8"/>
        </w:numPr>
        <w:shd w:val="clear" w:color="auto" w:fill="FFFFFF"/>
        <w:spacing w:line="360"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14:paraId="3F17EE19" w14:textId="77777777" w:rsidR="00862677" w:rsidRPr="007F7921" w:rsidRDefault="00862677" w:rsidP="009D2BF5">
      <w:pPr>
        <w:pStyle w:val="a4"/>
        <w:numPr>
          <w:ilvl w:val="0"/>
          <w:numId w:val="8"/>
        </w:numPr>
        <w:shd w:val="clear" w:color="auto" w:fill="FFFFFF"/>
        <w:spacing w:line="360" w:lineRule="auto"/>
        <w:ind w:left="0" w:firstLine="284"/>
        <w:jc w:val="both"/>
        <w:outlineLvl w:val="1"/>
        <w:rPr>
          <w:rFonts w:eastAsia="Calibri"/>
          <w:b/>
          <w:lang w:eastAsia="en-US"/>
        </w:rPr>
      </w:pPr>
      <w:r>
        <w:rPr>
          <w:rFonts w:eastAsia="Calibri"/>
          <w:lang w:eastAsia="en-US"/>
        </w:rPr>
        <w:t>Подготовка основания под трубопровод;</w:t>
      </w:r>
    </w:p>
    <w:p w14:paraId="14160183" w14:textId="77777777" w:rsidR="00862677" w:rsidRPr="007F7921" w:rsidRDefault="00862677" w:rsidP="009D2BF5">
      <w:pPr>
        <w:pStyle w:val="a4"/>
        <w:numPr>
          <w:ilvl w:val="0"/>
          <w:numId w:val="8"/>
        </w:numPr>
        <w:shd w:val="clear" w:color="auto" w:fill="FFFFFF"/>
        <w:spacing w:line="360" w:lineRule="auto"/>
        <w:ind w:left="0" w:firstLine="284"/>
        <w:jc w:val="both"/>
        <w:outlineLvl w:val="1"/>
        <w:rPr>
          <w:rFonts w:eastAsia="Calibri"/>
          <w:b/>
          <w:lang w:eastAsia="en-US"/>
        </w:rPr>
      </w:pPr>
      <w:r>
        <w:rPr>
          <w:rFonts w:eastAsia="Calibri"/>
          <w:lang w:eastAsia="en-US"/>
        </w:rPr>
        <w:t>Укладка трубопровода;</w:t>
      </w:r>
    </w:p>
    <w:p w14:paraId="2B44BC8F" w14:textId="60736215" w:rsidR="00862677" w:rsidRDefault="00862677" w:rsidP="009D2BF5">
      <w:pPr>
        <w:pStyle w:val="a4"/>
        <w:numPr>
          <w:ilvl w:val="0"/>
          <w:numId w:val="8"/>
        </w:numPr>
        <w:shd w:val="clear" w:color="auto" w:fill="FFFFFF"/>
        <w:spacing w:line="360" w:lineRule="auto"/>
        <w:ind w:left="0" w:firstLine="284"/>
        <w:jc w:val="both"/>
        <w:outlineLvl w:val="1"/>
        <w:rPr>
          <w:rFonts w:eastAsia="Calibri"/>
          <w:lang w:eastAsia="en-US"/>
        </w:rPr>
      </w:pPr>
      <w:r>
        <w:rPr>
          <w:rFonts w:eastAsia="Calibri"/>
          <w:lang w:eastAsia="en-US"/>
        </w:rPr>
        <w:t>Герметизация мест прохода трубопрово</w:t>
      </w:r>
      <w:r w:rsidR="009D2BF5">
        <w:rPr>
          <w:rFonts w:eastAsia="Calibri"/>
          <w:lang w:eastAsia="en-US"/>
        </w:rPr>
        <w:t>да через стенки колодцев</w:t>
      </w:r>
      <w:r>
        <w:rPr>
          <w:rFonts w:eastAsia="Calibri"/>
          <w:lang w:eastAsia="en-US"/>
        </w:rPr>
        <w:t>;</w:t>
      </w:r>
    </w:p>
    <w:p w14:paraId="070275BF" w14:textId="77777777" w:rsidR="00862677" w:rsidRPr="00BC104C" w:rsidRDefault="00862677" w:rsidP="009D2BF5">
      <w:pPr>
        <w:pStyle w:val="a4"/>
        <w:numPr>
          <w:ilvl w:val="0"/>
          <w:numId w:val="8"/>
        </w:numPr>
        <w:shd w:val="clear" w:color="auto" w:fill="FFFFFF"/>
        <w:spacing w:line="360" w:lineRule="auto"/>
        <w:ind w:left="0" w:firstLine="284"/>
        <w:jc w:val="both"/>
        <w:outlineLvl w:val="1"/>
        <w:rPr>
          <w:rFonts w:eastAsia="Calibri"/>
          <w:lang w:eastAsia="en-US"/>
        </w:rPr>
      </w:pPr>
      <w:r>
        <w:rPr>
          <w:rFonts w:eastAsia="Calibri"/>
          <w:lang w:eastAsia="en-US"/>
        </w:rPr>
        <w:lastRenderedPageBreak/>
        <w:t>Устройство защитного слоя трубопровода;</w:t>
      </w:r>
    </w:p>
    <w:p w14:paraId="2A0D6579" w14:textId="77777777" w:rsidR="00A738D7" w:rsidRDefault="00862677" w:rsidP="009D2BF5">
      <w:pPr>
        <w:pStyle w:val="a4"/>
        <w:numPr>
          <w:ilvl w:val="0"/>
          <w:numId w:val="8"/>
        </w:numPr>
        <w:shd w:val="clear" w:color="auto" w:fill="FFFFFF"/>
        <w:spacing w:line="360"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14:paraId="36A623E2" w14:textId="14E4D6B4" w:rsidR="00A738D7" w:rsidRPr="00A738D7" w:rsidRDefault="00A738D7" w:rsidP="009D2BF5">
      <w:pPr>
        <w:pStyle w:val="a4"/>
        <w:numPr>
          <w:ilvl w:val="0"/>
          <w:numId w:val="8"/>
        </w:numPr>
        <w:shd w:val="clear" w:color="auto" w:fill="FFFFFF"/>
        <w:spacing w:line="360" w:lineRule="auto"/>
        <w:ind w:left="0" w:firstLine="284"/>
        <w:jc w:val="both"/>
        <w:outlineLvl w:val="1"/>
        <w:rPr>
          <w:rFonts w:eastAsia="Calibri"/>
          <w:lang w:eastAsia="en-US"/>
        </w:rPr>
      </w:pPr>
      <w:r w:rsidRPr="00A738D7">
        <w:rPr>
          <w:rFonts w:eastAsia="Calibri"/>
          <w:lang w:eastAsia="en-US"/>
        </w:rPr>
        <w:t>Прокладка трубопровода бестраншейным методом.</w:t>
      </w:r>
    </w:p>
    <w:p w14:paraId="15F5BC71" w14:textId="77777777" w:rsidR="00EC226D" w:rsidRPr="00A43B34" w:rsidRDefault="00EC226D" w:rsidP="009D2BF5">
      <w:pPr>
        <w:pStyle w:val="a4"/>
        <w:numPr>
          <w:ilvl w:val="0"/>
          <w:numId w:val="6"/>
        </w:numPr>
        <w:shd w:val="clear" w:color="auto" w:fill="FFFFFF"/>
        <w:spacing w:line="360" w:lineRule="auto"/>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14:paraId="0F4AFE0A" w14:textId="33713357" w:rsidR="00EC226D" w:rsidRPr="00A738D7" w:rsidRDefault="00EC226D" w:rsidP="009D2BF5">
      <w:pPr>
        <w:pStyle w:val="a4"/>
        <w:numPr>
          <w:ilvl w:val="0"/>
          <w:numId w:val="6"/>
        </w:numPr>
        <w:shd w:val="clear" w:color="auto" w:fill="FFFFFF"/>
        <w:spacing w:line="360" w:lineRule="auto"/>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4A641B44" w14:textId="77777777" w:rsidR="00A738D7" w:rsidRPr="00A43B34" w:rsidRDefault="00A738D7" w:rsidP="009D2BF5">
      <w:pPr>
        <w:pStyle w:val="a4"/>
        <w:numPr>
          <w:ilvl w:val="0"/>
          <w:numId w:val="6"/>
        </w:numPr>
        <w:shd w:val="clear" w:color="auto" w:fill="FFFFFF"/>
        <w:spacing w:line="360" w:lineRule="auto"/>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14:paraId="6E6C1F3C" w14:textId="77777777" w:rsidR="00EC226D" w:rsidRPr="00866331" w:rsidRDefault="00EC226D" w:rsidP="009D2BF5">
      <w:pPr>
        <w:pStyle w:val="a4"/>
        <w:numPr>
          <w:ilvl w:val="0"/>
          <w:numId w:val="6"/>
        </w:numPr>
        <w:shd w:val="clear" w:color="auto" w:fill="FFFFFF"/>
        <w:spacing w:line="360" w:lineRule="auto"/>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4F73636" w14:textId="77777777" w:rsidR="00EC226D" w:rsidRPr="004463D3" w:rsidRDefault="00EC226D" w:rsidP="009D2BF5">
      <w:pPr>
        <w:pStyle w:val="a4"/>
        <w:numPr>
          <w:ilvl w:val="0"/>
          <w:numId w:val="6"/>
        </w:numPr>
        <w:shd w:val="clear" w:color="auto" w:fill="FFFFFF"/>
        <w:spacing w:line="360" w:lineRule="auto"/>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AE7815E" w14:textId="77777777" w:rsidR="00EC226D" w:rsidRPr="00E1320E" w:rsidRDefault="00EC226D" w:rsidP="009D2BF5">
      <w:pPr>
        <w:numPr>
          <w:ilvl w:val="0"/>
          <w:numId w:val="6"/>
        </w:numPr>
        <w:shd w:val="clear" w:color="auto" w:fill="FFFFFF"/>
        <w:spacing w:line="360" w:lineRule="auto"/>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5AE57C" w14:textId="77777777" w:rsidR="00EC226D" w:rsidRPr="00E1320E" w:rsidRDefault="00EC226D" w:rsidP="009D2BF5">
      <w:pPr>
        <w:numPr>
          <w:ilvl w:val="0"/>
          <w:numId w:val="6"/>
        </w:numPr>
        <w:shd w:val="clear" w:color="auto" w:fill="FFFFFF"/>
        <w:spacing w:line="360" w:lineRule="auto"/>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022CD4C" w14:textId="77777777" w:rsidR="00EC226D" w:rsidRPr="00686EFA" w:rsidRDefault="00EC226D" w:rsidP="009D2BF5">
      <w:pPr>
        <w:numPr>
          <w:ilvl w:val="0"/>
          <w:numId w:val="6"/>
        </w:numPr>
        <w:shd w:val="clear" w:color="auto" w:fill="FFFFFF"/>
        <w:spacing w:line="360" w:lineRule="auto"/>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522A8AD7" w14:textId="77777777" w:rsidR="00EC226D" w:rsidRPr="00F404FA" w:rsidRDefault="00EC226D" w:rsidP="009D2BF5">
      <w:pPr>
        <w:numPr>
          <w:ilvl w:val="0"/>
          <w:numId w:val="6"/>
        </w:numPr>
        <w:shd w:val="clear" w:color="auto" w:fill="FFFFFF"/>
        <w:spacing w:line="360" w:lineRule="auto"/>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51D36B8" w14:textId="5B22C3C3" w:rsidR="00F404FA" w:rsidRPr="00FD3642" w:rsidRDefault="00F404FA" w:rsidP="009D2BF5">
      <w:pPr>
        <w:numPr>
          <w:ilvl w:val="0"/>
          <w:numId w:val="6"/>
        </w:numPr>
        <w:shd w:val="clear" w:color="auto" w:fill="FFFFFF"/>
        <w:spacing w:line="360" w:lineRule="auto"/>
        <w:ind w:left="0" w:firstLine="426"/>
        <w:contextualSpacing/>
        <w:jc w:val="both"/>
        <w:outlineLvl w:val="1"/>
        <w:rPr>
          <w:rFonts w:eastAsia="Calibri"/>
          <w:b/>
          <w:lang w:eastAsia="en-US"/>
        </w:rPr>
      </w:pPr>
      <w:r>
        <w:rPr>
          <w:rFonts w:eastAsia="Calibri"/>
          <w:lang w:eastAsia="en-US"/>
        </w:rPr>
        <w:t>Документация</w:t>
      </w:r>
      <w:r w:rsidR="00B35DBD">
        <w:rPr>
          <w:rFonts w:eastAsia="Calibri"/>
          <w:lang w:eastAsia="en-US"/>
        </w:rPr>
        <w:t>,</w:t>
      </w:r>
      <w:r>
        <w:rPr>
          <w:rFonts w:eastAsia="Calibri"/>
          <w:lang w:eastAsia="en-US"/>
        </w:rPr>
        <w:t xml:space="preserve">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0CC90631" w14:textId="77777777" w:rsidR="00EC226D" w:rsidRPr="00A67525" w:rsidRDefault="00EC226D" w:rsidP="009D2BF5">
      <w:pPr>
        <w:numPr>
          <w:ilvl w:val="0"/>
          <w:numId w:val="6"/>
        </w:numPr>
        <w:shd w:val="clear" w:color="auto" w:fill="FFFFFF"/>
        <w:spacing w:line="360" w:lineRule="auto"/>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16FF3502" w14:textId="77777777" w:rsidR="00156AFB" w:rsidRDefault="00156AFB" w:rsidP="00BF68A5">
      <w:pPr>
        <w:spacing w:after="20"/>
        <w:ind w:firstLine="567"/>
        <w:jc w:val="both"/>
        <w:rPr>
          <w:b/>
        </w:rPr>
      </w:pPr>
    </w:p>
    <w:p w14:paraId="62CD5CDA" w14:textId="77777777" w:rsidR="00C91353" w:rsidRDefault="00C91353" w:rsidP="00BF68A5">
      <w:pPr>
        <w:spacing w:after="20"/>
        <w:ind w:firstLine="567"/>
        <w:jc w:val="both"/>
        <w:rPr>
          <w:b/>
        </w:rPr>
      </w:pPr>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6C313A37" w14:textId="77777777" w:rsidR="000235E6" w:rsidRDefault="000235E6" w:rsidP="00C91353">
      <w:pPr>
        <w:tabs>
          <w:tab w:val="left" w:pos="851"/>
          <w:tab w:val="left" w:pos="993"/>
        </w:tabs>
        <w:spacing w:after="20"/>
        <w:ind w:firstLine="426"/>
        <w:jc w:val="both"/>
      </w:pPr>
    </w:p>
    <w:p w14:paraId="3793471E" w14:textId="71CFF43D" w:rsidR="00C91353" w:rsidRPr="00E1320E" w:rsidRDefault="00A738D7" w:rsidP="00C91353">
      <w:pPr>
        <w:tabs>
          <w:tab w:val="left" w:pos="851"/>
          <w:tab w:val="left" w:pos="993"/>
        </w:tabs>
        <w:spacing w:after="20"/>
        <w:ind w:firstLine="426"/>
        <w:jc w:val="both"/>
        <w:rPr>
          <w:b/>
        </w:rPr>
      </w:pPr>
      <w:r>
        <w:t>Начальник</w:t>
      </w:r>
      <w:r w:rsidR="00C91353" w:rsidRPr="00681138">
        <w:t xml:space="preserve"> ПТО</w:t>
      </w:r>
      <w:r w:rsidR="00C91353">
        <w:tab/>
      </w:r>
      <w:r w:rsidR="00C91353">
        <w:tab/>
      </w:r>
      <w:r w:rsidR="00C91353">
        <w:tab/>
      </w:r>
      <w:r w:rsidR="00C91353">
        <w:tab/>
      </w:r>
      <w:r w:rsidR="00C91353">
        <w:tab/>
        <w:t xml:space="preserve">            </w:t>
      </w:r>
      <w:r>
        <w:t>_______________ Е.В. Золотникова</w:t>
      </w:r>
    </w:p>
    <w:p w14:paraId="281C1C8C" w14:textId="77777777" w:rsidR="00C91353" w:rsidRDefault="00C91353" w:rsidP="00C91353">
      <w:pPr>
        <w:tabs>
          <w:tab w:val="left" w:pos="851"/>
          <w:tab w:val="left" w:pos="993"/>
        </w:tabs>
        <w:spacing w:after="20"/>
        <w:ind w:firstLine="426"/>
        <w:jc w:val="both"/>
      </w:pPr>
    </w:p>
    <w:p w14:paraId="597FE7BF" w14:textId="77777777" w:rsidR="00C91353" w:rsidRDefault="00C91353" w:rsidP="00C91353">
      <w:pPr>
        <w:tabs>
          <w:tab w:val="left" w:pos="851"/>
          <w:tab w:val="left" w:pos="993"/>
        </w:tabs>
        <w:spacing w:after="20"/>
        <w:ind w:firstLine="426"/>
        <w:jc w:val="both"/>
      </w:pP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13DB7"/>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8367275"/>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6334541E"/>
    <w:lvl w:ilvl="0" w:tplc="5D5856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1186"/>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130FDB"/>
    <w:rsid w:val="001551A7"/>
    <w:rsid w:val="0015692A"/>
    <w:rsid w:val="00156AFB"/>
    <w:rsid w:val="00164553"/>
    <w:rsid w:val="00164846"/>
    <w:rsid w:val="00165A3F"/>
    <w:rsid w:val="0016641B"/>
    <w:rsid w:val="0017190D"/>
    <w:rsid w:val="00191296"/>
    <w:rsid w:val="001E5D0A"/>
    <w:rsid w:val="001E7A23"/>
    <w:rsid w:val="001F52CD"/>
    <w:rsid w:val="00226DF1"/>
    <w:rsid w:val="002322E3"/>
    <w:rsid w:val="0024380F"/>
    <w:rsid w:val="002572CE"/>
    <w:rsid w:val="00262C4E"/>
    <w:rsid w:val="00265933"/>
    <w:rsid w:val="00266BF3"/>
    <w:rsid w:val="00271306"/>
    <w:rsid w:val="00273F41"/>
    <w:rsid w:val="00275785"/>
    <w:rsid w:val="00290355"/>
    <w:rsid w:val="002C1FBF"/>
    <w:rsid w:val="002C4726"/>
    <w:rsid w:val="002D5056"/>
    <w:rsid w:val="0030053E"/>
    <w:rsid w:val="00306DB6"/>
    <w:rsid w:val="00312A2E"/>
    <w:rsid w:val="003300CC"/>
    <w:rsid w:val="00337B28"/>
    <w:rsid w:val="00384A1E"/>
    <w:rsid w:val="00386B24"/>
    <w:rsid w:val="003B0570"/>
    <w:rsid w:val="003C7B54"/>
    <w:rsid w:val="003E3A6B"/>
    <w:rsid w:val="004006B2"/>
    <w:rsid w:val="0045743F"/>
    <w:rsid w:val="004611C9"/>
    <w:rsid w:val="004A5822"/>
    <w:rsid w:val="004B13E8"/>
    <w:rsid w:val="004C73A4"/>
    <w:rsid w:val="004C7CA0"/>
    <w:rsid w:val="004D27C4"/>
    <w:rsid w:val="004E0555"/>
    <w:rsid w:val="004E397C"/>
    <w:rsid w:val="004F34AD"/>
    <w:rsid w:val="00500F23"/>
    <w:rsid w:val="00505241"/>
    <w:rsid w:val="00510E49"/>
    <w:rsid w:val="0053544A"/>
    <w:rsid w:val="00537464"/>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E57F5"/>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2677"/>
    <w:rsid w:val="00864EA1"/>
    <w:rsid w:val="00872DE8"/>
    <w:rsid w:val="00887B34"/>
    <w:rsid w:val="00896C64"/>
    <w:rsid w:val="008F357A"/>
    <w:rsid w:val="0092763C"/>
    <w:rsid w:val="009470FB"/>
    <w:rsid w:val="0096271A"/>
    <w:rsid w:val="0096396A"/>
    <w:rsid w:val="00971213"/>
    <w:rsid w:val="009762FF"/>
    <w:rsid w:val="00982CF6"/>
    <w:rsid w:val="009C00CA"/>
    <w:rsid w:val="009D25F3"/>
    <w:rsid w:val="009D2BF5"/>
    <w:rsid w:val="00A05097"/>
    <w:rsid w:val="00A06404"/>
    <w:rsid w:val="00A12892"/>
    <w:rsid w:val="00A1423D"/>
    <w:rsid w:val="00A43B34"/>
    <w:rsid w:val="00A50312"/>
    <w:rsid w:val="00A67525"/>
    <w:rsid w:val="00A738D7"/>
    <w:rsid w:val="00AB67B8"/>
    <w:rsid w:val="00B10C36"/>
    <w:rsid w:val="00B1409D"/>
    <w:rsid w:val="00B35DBD"/>
    <w:rsid w:val="00B622AA"/>
    <w:rsid w:val="00B625EF"/>
    <w:rsid w:val="00B73473"/>
    <w:rsid w:val="00B83C97"/>
    <w:rsid w:val="00BB6076"/>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44CB3"/>
    <w:rsid w:val="00D52895"/>
    <w:rsid w:val="00DB1AC5"/>
    <w:rsid w:val="00DD0FDA"/>
    <w:rsid w:val="00DD746F"/>
    <w:rsid w:val="00DE2027"/>
    <w:rsid w:val="00DF284E"/>
    <w:rsid w:val="00DF3671"/>
    <w:rsid w:val="00E01B8C"/>
    <w:rsid w:val="00E05183"/>
    <w:rsid w:val="00E120E3"/>
    <w:rsid w:val="00E1320E"/>
    <w:rsid w:val="00E37E78"/>
    <w:rsid w:val="00E548D9"/>
    <w:rsid w:val="00E62814"/>
    <w:rsid w:val="00E85146"/>
    <w:rsid w:val="00E90D6C"/>
    <w:rsid w:val="00EA7F60"/>
    <w:rsid w:val="00EC226D"/>
    <w:rsid w:val="00EC38E8"/>
    <w:rsid w:val="00EF58CE"/>
    <w:rsid w:val="00F12916"/>
    <w:rsid w:val="00F339F1"/>
    <w:rsid w:val="00F369FA"/>
    <w:rsid w:val="00F404FA"/>
    <w:rsid w:val="00F45314"/>
    <w:rsid w:val="00F53556"/>
    <w:rsid w:val="00F554F4"/>
    <w:rsid w:val="00F7021B"/>
    <w:rsid w:val="00FA014B"/>
    <w:rsid w:val="00FD2F80"/>
    <w:rsid w:val="00FD3642"/>
    <w:rsid w:val="00FE0AB3"/>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BFCF-5EE7-4618-A0A3-FE01BD8C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Золотникова Евгения Владимировна</cp:lastModifiedBy>
  <cp:revision>5</cp:revision>
  <cp:lastPrinted>2022-03-11T06:07:00Z</cp:lastPrinted>
  <dcterms:created xsi:type="dcterms:W3CDTF">2022-02-01T05:27:00Z</dcterms:created>
  <dcterms:modified xsi:type="dcterms:W3CDTF">2022-03-11T06:07:00Z</dcterms:modified>
</cp:coreProperties>
</file>